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C99" w14:textId="77777777" w:rsidR="00D17D7D" w:rsidRDefault="00D17D7D" w:rsidP="00D17D7D">
      <w:pPr>
        <w:spacing w:before="100" w:beforeAutospacing="1" w:after="100" w:afterAutospacing="1"/>
        <w:rPr>
          <w:rFonts w:ascii="Calibri" w:eastAsia="Times New Roman" w:hAnsi="Calibri" w:cs="Times New Roman"/>
          <w:color w:val="000000"/>
          <w:sz w:val="40"/>
          <w:szCs w:val="40"/>
        </w:rPr>
      </w:pPr>
    </w:p>
    <w:p w14:paraId="09E4B99A" w14:textId="77777777" w:rsidR="00D17D7D" w:rsidRPr="00D17D7D" w:rsidRDefault="00D17D7D" w:rsidP="00D17D7D">
      <w:pPr>
        <w:spacing w:before="100" w:beforeAutospacing="1" w:after="100" w:afterAutospacing="1"/>
        <w:rPr>
          <w:rFonts w:ascii="Calibri" w:eastAsia="Times New Roman" w:hAnsi="Calibri" w:cs="Times New Roman"/>
          <w:color w:val="000000"/>
          <w:sz w:val="40"/>
          <w:szCs w:val="40"/>
        </w:rPr>
      </w:pPr>
    </w:p>
    <w:p w14:paraId="26B111A1" w14:textId="77777777" w:rsidR="00D17D7D" w:rsidRPr="00D17D7D" w:rsidRDefault="00D17D7D" w:rsidP="00D17D7D">
      <w:pPr>
        <w:spacing w:before="100" w:beforeAutospacing="1" w:after="100" w:afterAutospacing="1"/>
        <w:ind w:left="720"/>
        <w:rPr>
          <w:rFonts w:ascii="Calibri" w:eastAsia="Times New Roman" w:hAnsi="Calibri" w:cs="Times New Roman"/>
          <w:color w:val="000000"/>
          <w:sz w:val="40"/>
          <w:szCs w:val="40"/>
        </w:rPr>
      </w:pPr>
      <w:r>
        <w:rPr>
          <w:noProof/>
          <w:lang w:val="en-US"/>
        </w:rPr>
        <w:drawing>
          <wp:inline distT="0" distB="0" distL="0" distR="0" wp14:anchorId="0208BFF5" wp14:editId="24B8BBE0">
            <wp:extent cx="3124200" cy="1219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219200"/>
                    </a:xfrm>
                    <a:prstGeom prst="rect">
                      <a:avLst/>
                    </a:prstGeom>
                    <a:noFill/>
                    <a:ln>
                      <a:noFill/>
                    </a:ln>
                  </pic:spPr>
                </pic:pic>
              </a:graphicData>
            </a:graphic>
          </wp:inline>
        </w:drawing>
      </w:r>
    </w:p>
    <w:p w14:paraId="71FE084E" w14:textId="77777777" w:rsidR="00D17D7D" w:rsidRDefault="00D17D7D" w:rsidP="00D17D7D">
      <w:pPr>
        <w:spacing w:before="100" w:beforeAutospacing="1" w:after="100" w:afterAutospacing="1"/>
        <w:ind w:left="720"/>
        <w:rPr>
          <w:rFonts w:ascii="Calibri" w:eastAsia="Times New Roman" w:hAnsi="Calibri" w:cs="Times New Roman"/>
          <w:b/>
          <w:bCs/>
          <w:color w:val="000000"/>
          <w:sz w:val="40"/>
          <w:szCs w:val="40"/>
        </w:rPr>
      </w:pPr>
    </w:p>
    <w:p w14:paraId="1F373318" w14:textId="1CBD257A" w:rsidR="00D17D7D" w:rsidRPr="00952788" w:rsidRDefault="00D17D7D" w:rsidP="00952788">
      <w:pPr>
        <w:spacing w:before="100" w:beforeAutospacing="1" w:after="100" w:afterAutospacing="1"/>
        <w:ind w:left="720"/>
        <w:rPr>
          <w:rFonts w:ascii="Calibri" w:eastAsia="Times New Roman" w:hAnsi="Calibri" w:cs="Times New Roman"/>
          <w:color w:val="000000"/>
          <w:sz w:val="40"/>
          <w:szCs w:val="40"/>
        </w:rPr>
      </w:pPr>
      <w:r w:rsidRPr="00D17D7D">
        <w:rPr>
          <w:rFonts w:ascii="Calibri" w:eastAsia="Times New Roman" w:hAnsi="Calibri" w:cs="Times New Roman"/>
          <w:b/>
          <w:bCs/>
          <w:color w:val="000000"/>
          <w:sz w:val="40"/>
          <w:szCs w:val="40"/>
        </w:rPr>
        <w:t>Beveiligings-</w:t>
      </w:r>
      <w:r w:rsidRPr="00D17D7D">
        <w:rPr>
          <w:rFonts w:ascii="Calibri" w:eastAsia="Times New Roman" w:hAnsi="Calibri" w:cs="Times New Roman"/>
          <w:color w:val="000000"/>
          <w:sz w:val="40"/>
          <w:szCs w:val="40"/>
        </w:rPr>
        <w:t> </w:t>
      </w:r>
      <w:r w:rsidRPr="00D17D7D">
        <w:rPr>
          <w:rFonts w:ascii="Calibri" w:eastAsia="Times New Roman" w:hAnsi="Calibri" w:cs="Times New Roman"/>
          <w:b/>
          <w:bCs/>
          <w:color w:val="000000"/>
          <w:sz w:val="40"/>
          <w:szCs w:val="40"/>
        </w:rPr>
        <w:t xml:space="preserve">en </w:t>
      </w:r>
      <w:proofErr w:type="spellStart"/>
      <w:r w:rsidRPr="00D17D7D">
        <w:rPr>
          <w:rFonts w:ascii="Calibri" w:eastAsia="Times New Roman" w:hAnsi="Calibri" w:cs="Times New Roman"/>
          <w:b/>
          <w:bCs/>
          <w:color w:val="000000"/>
          <w:sz w:val="40"/>
          <w:szCs w:val="40"/>
        </w:rPr>
        <w:t>Privacyprotocol</w:t>
      </w:r>
      <w:proofErr w:type="spellEnd"/>
      <w:r w:rsidRPr="00D17D7D">
        <w:rPr>
          <w:rFonts w:ascii="Calibri" w:eastAsia="Times New Roman" w:hAnsi="Calibri" w:cs="Times New Roman"/>
          <w:color w:val="000000"/>
          <w:sz w:val="40"/>
          <w:szCs w:val="40"/>
        </w:rPr>
        <w:t> </w:t>
      </w:r>
    </w:p>
    <w:p w14:paraId="23AFEC4C" w14:textId="177ED2AB" w:rsidR="00D17D7D" w:rsidRPr="00952788" w:rsidRDefault="00952788" w:rsidP="00952788">
      <w:pPr>
        <w:spacing w:before="100" w:beforeAutospacing="1" w:after="100" w:afterAutospacing="1"/>
        <w:ind w:left="720"/>
        <w:rPr>
          <w:rFonts w:ascii="Calibri" w:eastAsia="Times New Roman" w:hAnsi="Calibri" w:cs="Times New Roman"/>
          <w:color w:val="000000"/>
        </w:rPr>
      </w:pPr>
      <w:r w:rsidRPr="00952788">
        <w:rPr>
          <w:rFonts w:ascii="Calibri" w:eastAsia="Times New Roman" w:hAnsi="Calibri" w:cs="Times New Roman"/>
          <w:b/>
          <w:color w:val="000000"/>
        </w:rPr>
        <w:t xml:space="preserve">Psychologenbureau Boluijt </w:t>
      </w:r>
      <w:r w:rsidRPr="00952788">
        <w:rPr>
          <w:rFonts w:ascii="Calibri" w:eastAsia="Times New Roman" w:hAnsi="Calibri" w:cs="Times New Roman"/>
          <w:color w:val="000000"/>
        </w:rPr>
        <w:t xml:space="preserve">heeft een beveiligingsbeleid voor de beveiliging van de </w:t>
      </w:r>
      <w:r>
        <w:rPr>
          <w:rFonts w:ascii="Calibri" w:eastAsia="Times New Roman" w:hAnsi="Calibri" w:cs="Times New Roman"/>
          <w:color w:val="000000"/>
        </w:rPr>
        <w:t xml:space="preserve"> </w:t>
      </w:r>
      <w:r w:rsidRPr="00952788">
        <w:rPr>
          <w:rFonts w:ascii="Calibri" w:eastAsia="Times New Roman" w:hAnsi="Calibri" w:cs="Times New Roman"/>
          <w:color w:val="000000"/>
        </w:rPr>
        <w:t xml:space="preserve">  persoonsgegevens</w:t>
      </w:r>
      <w:r>
        <w:rPr>
          <w:rFonts w:ascii="Calibri" w:eastAsia="Times New Roman" w:hAnsi="Calibri" w:cs="Times New Roman"/>
          <w:color w:val="000000"/>
        </w:rPr>
        <w:t xml:space="preserve"> en</w:t>
      </w:r>
      <w:r w:rsidR="00D17D7D" w:rsidRPr="00D17D7D">
        <w:rPr>
          <w:rFonts w:ascii="Calibri" w:eastAsia="Times New Roman" w:hAnsi="Calibri" w:cs="Times New Roman"/>
          <w:color w:val="000000"/>
          <w:sz w:val="21"/>
          <w:szCs w:val="21"/>
        </w:rPr>
        <w:t xml:space="preserve"> </w:t>
      </w:r>
      <w:r w:rsidR="00D17D7D" w:rsidRPr="00D17D7D">
        <w:rPr>
          <w:rFonts w:ascii="Calibri" w:eastAsia="Times New Roman" w:hAnsi="Calibri" w:cs="Times New Roman"/>
          <w:color w:val="000000"/>
        </w:rPr>
        <w:t xml:space="preserve">heeft getracht in navolging van de wet AVG alle noodzakelijke acties te ondernemen om de persoonsgegevens zo maximaal mogelijk te beschermen. De veiligheid van persoonsgegevens </w:t>
      </w:r>
      <w:r w:rsidR="00581C9C">
        <w:rPr>
          <w:rFonts w:ascii="Calibri" w:eastAsia="Times New Roman" w:hAnsi="Calibri" w:cs="Times New Roman"/>
          <w:color w:val="000000"/>
        </w:rPr>
        <w:t xml:space="preserve">(inclusief e-mails en documenten) </w:t>
      </w:r>
      <w:r w:rsidR="00D17D7D" w:rsidRPr="00D17D7D">
        <w:rPr>
          <w:rFonts w:ascii="Calibri" w:eastAsia="Times New Roman" w:hAnsi="Calibri" w:cs="Times New Roman"/>
          <w:color w:val="000000"/>
        </w:rPr>
        <w:t xml:space="preserve">wordt onder andere bewaakt door gebruik te maken van </w:t>
      </w:r>
      <w:r w:rsidR="002F4916">
        <w:rPr>
          <w:rFonts w:ascii="Calibri" w:eastAsia="Times New Roman" w:hAnsi="Calibri" w:cs="Times New Roman"/>
          <w:color w:val="000000"/>
        </w:rPr>
        <w:t xml:space="preserve">een met </w:t>
      </w:r>
      <w:r w:rsidR="002F4916" w:rsidRPr="00D17D7D">
        <w:rPr>
          <w:rFonts w:ascii="Calibri" w:eastAsia="Times New Roman" w:hAnsi="Calibri" w:cs="Times New Roman"/>
          <w:color w:val="000000"/>
        </w:rPr>
        <w:t>zogenaamde 'sterke wachtwoorden’</w:t>
      </w:r>
      <w:r w:rsidR="002F4916">
        <w:rPr>
          <w:rFonts w:ascii="Calibri" w:eastAsia="Times New Roman" w:hAnsi="Calibri" w:cs="Times New Roman"/>
          <w:color w:val="000000"/>
        </w:rPr>
        <w:t xml:space="preserve"> beveiligde digitale omgeving </w:t>
      </w:r>
      <w:r w:rsidR="00D17D7D" w:rsidRPr="00D17D7D">
        <w:rPr>
          <w:rFonts w:ascii="Calibri" w:eastAsia="Times New Roman" w:hAnsi="Calibri" w:cs="Times New Roman"/>
          <w:color w:val="000000"/>
        </w:rPr>
        <w:t xml:space="preserve">en het maken van </w:t>
      </w:r>
      <w:r w:rsidR="00D17D7D" w:rsidRPr="00952788">
        <w:rPr>
          <w:rFonts w:ascii="Calibri" w:eastAsia="Times New Roman" w:hAnsi="Calibri" w:cs="Times New Roman"/>
          <w:color w:val="000000"/>
        </w:rPr>
        <w:t xml:space="preserve">regelmatige </w:t>
      </w:r>
      <w:proofErr w:type="spellStart"/>
      <w:r w:rsidR="00D17D7D" w:rsidRPr="00952788">
        <w:rPr>
          <w:rFonts w:ascii="Calibri" w:eastAsia="Times New Roman" w:hAnsi="Calibri" w:cs="Times New Roman"/>
          <w:color w:val="000000"/>
        </w:rPr>
        <w:t>back-ups</w:t>
      </w:r>
      <w:proofErr w:type="spellEnd"/>
      <w:r w:rsidR="00D17D7D" w:rsidRPr="00952788">
        <w:rPr>
          <w:rFonts w:ascii="Calibri" w:eastAsia="Times New Roman" w:hAnsi="Calibri" w:cs="Times New Roman"/>
          <w:color w:val="000000"/>
        </w:rPr>
        <w:t xml:space="preserve">. </w:t>
      </w:r>
    </w:p>
    <w:p w14:paraId="2F08EB83" w14:textId="77777777" w:rsidR="00806A96" w:rsidRPr="00952788" w:rsidRDefault="00806A96" w:rsidP="00806A96">
      <w:pPr>
        <w:spacing w:before="100" w:beforeAutospacing="1" w:after="100" w:afterAutospacing="1"/>
        <w:ind w:left="720"/>
        <w:rPr>
          <w:rFonts w:ascii="Calibri" w:eastAsia="Times New Roman" w:hAnsi="Calibri" w:cs="Times New Roman"/>
          <w:color w:val="000000"/>
        </w:rPr>
      </w:pPr>
      <w:r w:rsidRPr="00952788">
        <w:rPr>
          <w:rFonts w:ascii="Calibri" w:eastAsia="Times New Roman" w:hAnsi="Calibri" w:cs="Times New Roman"/>
          <w:color w:val="000000"/>
        </w:rPr>
        <w:t>Via de website van Psychologenbureau Boluijt zullen geen gegevens worden gegenereerd dan sec de (persoons)gegevens die via het e-mailadres, wat op de website vernoemd staat, naar Psychologenbureau Boluijt worden toegezonden.</w:t>
      </w:r>
    </w:p>
    <w:p w14:paraId="043FDA82" w14:textId="5E68938C" w:rsidR="00D17D7D" w:rsidRPr="00952788" w:rsidRDefault="00952788" w:rsidP="00952788">
      <w:pPr>
        <w:spacing w:before="100" w:beforeAutospacing="1" w:after="100" w:afterAutospacing="1"/>
        <w:ind w:left="708"/>
        <w:rPr>
          <w:rFonts w:ascii="Calibri" w:hAnsi="Calibri" w:cs="Times New Roman"/>
          <w:sz w:val="22"/>
          <w:szCs w:val="22"/>
        </w:rPr>
      </w:pPr>
      <w:r w:rsidRPr="00952788">
        <w:rPr>
          <w:rFonts w:ascii="Calibri" w:hAnsi="Calibri" w:cs="Times New Roman"/>
        </w:rPr>
        <w:t xml:space="preserve">De opgeslagen persoonsgegevens worden regelmatig geback-upt, om te voorkomen dat de gegevens bij een calamiteit verloren gaan. Deze </w:t>
      </w:r>
      <w:proofErr w:type="spellStart"/>
      <w:r w:rsidRPr="00952788">
        <w:rPr>
          <w:rFonts w:ascii="Calibri" w:hAnsi="Calibri" w:cs="Times New Roman"/>
        </w:rPr>
        <w:t>back-ups</w:t>
      </w:r>
      <w:proofErr w:type="spellEnd"/>
      <w:r w:rsidRPr="00952788">
        <w:rPr>
          <w:rFonts w:ascii="Calibri" w:hAnsi="Calibri" w:cs="Times New Roman"/>
        </w:rPr>
        <w:t xml:space="preserve"> worden volgens protocol gemaakt. </w:t>
      </w:r>
      <w:proofErr w:type="spellStart"/>
      <w:r w:rsidR="00D17D7D" w:rsidRPr="00952788">
        <w:rPr>
          <w:rFonts w:ascii="Calibri" w:eastAsia="Times New Roman" w:hAnsi="Calibri" w:cs="Times New Roman"/>
          <w:color w:val="000000"/>
        </w:rPr>
        <w:t>Back-ups</w:t>
      </w:r>
      <w:proofErr w:type="spellEnd"/>
      <w:r w:rsidR="00D17D7D" w:rsidRPr="00952788">
        <w:rPr>
          <w:rFonts w:ascii="Calibri" w:eastAsia="Times New Roman" w:hAnsi="Calibri" w:cs="Times New Roman"/>
          <w:color w:val="000000"/>
        </w:rPr>
        <w:t xml:space="preserve"> worden sowieso eens per termijn van zes maanden gemaakt op alle lopende dossiers</w:t>
      </w:r>
      <w:r w:rsidR="00D17D7D" w:rsidRPr="00D17D7D">
        <w:rPr>
          <w:rFonts w:ascii="Calibri" w:eastAsia="Times New Roman" w:hAnsi="Calibri" w:cs="Times New Roman"/>
          <w:color w:val="000000"/>
        </w:rPr>
        <w:t xml:space="preserve"> en tevens tussentijds  indien de gegevens om aanpassing (correctie, aanpassing of verwijdering) vragen. De persoonsgegevens worden gecheckt en waar nodig aangepast in het cliëntvolgsysteem. </w:t>
      </w:r>
      <w:r w:rsidR="00AE0556">
        <w:rPr>
          <w:rFonts w:ascii="Calibri" w:eastAsia="Times New Roman" w:hAnsi="Calibri" w:cs="Times New Roman"/>
          <w:color w:val="000000"/>
        </w:rPr>
        <w:t xml:space="preserve">De </w:t>
      </w:r>
      <w:proofErr w:type="spellStart"/>
      <w:r w:rsidR="00AE0556">
        <w:rPr>
          <w:rFonts w:ascii="Calibri" w:eastAsia="Times New Roman" w:hAnsi="Calibri" w:cs="Times New Roman"/>
          <w:color w:val="000000"/>
        </w:rPr>
        <w:t>back-ups</w:t>
      </w:r>
      <w:proofErr w:type="spellEnd"/>
      <w:r w:rsidR="00AE0556">
        <w:rPr>
          <w:rFonts w:ascii="Calibri" w:eastAsia="Times New Roman" w:hAnsi="Calibri" w:cs="Times New Roman"/>
          <w:color w:val="000000"/>
        </w:rPr>
        <w:t xml:space="preserve"> worden in een tegen brand en inbraak beschermde en af te sluiten omgeving bewaard. </w:t>
      </w:r>
      <w:r w:rsidR="00D17D7D" w:rsidRPr="00D17D7D">
        <w:rPr>
          <w:rFonts w:ascii="Calibri" w:eastAsia="Times New Roman" w:hAnsi="Calibri" w:cs="Times New Roman"/>
          <w:color w:val="000000"/>
        </w:rPr>
        <w:t>De wettelijke bewaartermijn van cliëntdossiers is 15 jaar. Er worden niet meer persoonsgegevens vastgelegd dan noodzakelijk is voor het doel waarvoor ze gebruikt worden. Zie hiervoor ook het Privacyreglement onder art. 6 ‘ Rechtmatige verwerking’. Wanneer persoonsgegevens onvolledig zijn zullen deze i.o.m. de persoon in kwestie worden aangevuld. Zie hiervoor ook het Privacyreglement onder art. 12 ‘Recht op correctie, aanvulling, verwijdering’. Ook zal overleg met de betrokkene plaatsvinden indien de persoonsgegevens dienen te worden gecorrigeerd of verwijderd als deze onjuist blijken te zijn.</w:t>
      </w:r>
    </w:p>
    <w:tbl>
      <w:tblPr>
        <w:tblW w:w="0" w:type="auto"/>
        <w:tblCellSpacing w:w="15" w:type="dxa"/>
        <w:tblCellMar>
          <w:top w:w="15" w:type="dxa"/>
          <w:left w:w="450" w:type="dxa"/>
          <w:bottom w:w="15" w:type="dxa"/>
          <w:right w:w="15" w:type="dxa"/>
        </w:tblCellMar>
        <w:tblLook w:val="04A0" w:firstRow="1" w:lastRow="0" w:firstColumn="1" w:lastColumn="0" w:noHBand="0" w:noVBand="1"/>
      </w:tblPr>
      <w:tblGrid>
        <w:gridCol w:w="531"/>
      </w:tblGrid>
      <w:tr w:rsidR="00952788" w:rsidRPr="00952788" w14:paraId="72EB5A72" w14:textId="77777777" w:rsidTr="00952788">
        <w:trPr>
          <w:tblCellSpacing w:w="15" w:type="dxa"/>
        </w:trPr>
        <w:tc>
          <w:tcPr>
            <w:tcW w:w="0" w:type="auto"/>
            <w:vAlign w:val="center"/>
          </w:tcPr>
          <w:p w14:paraId="6647FE15" w14:textId="77777777" w:rsidR="00952788" w:rsidRPr="00952788" w:rsidRDefault="00952788" w:rsidP="00952788">
            <w:pPr>
              <w:spacing w:before="100" w:beforeAutospacing="1" w:after="100" w:afterAutospacing="1"/>
              <w:rPr>
                <w:rFonts w:ascii="Calibri" w:hAnsi="Calibri" w:cs="Times New Roman"/>
              </w:rPr>
            </w:pPr>
          </w:p>
        </w:tc>
      </w:tr>
      <w:tr w:rsidR="00952788" w:rsidRPr="00952788" w14:paraId="6F684EBD" w14:textId="77777777" w:rsidTr="00952788">
        <w:trPr>
          <w:tblCellSpacing w:w="15" w:type="dxa"/>
        </w:trPr>
        <w:tc>
          <w:tcPr>
            <w:tcW w:w="0" w:type="auto"/>
            <w:vAlign w:val="center"/>
          </w:tcPr>
          <w:p w14:paraId="01F00123" w14:textId="77777777" w:rsidR="00952788" w:rsidRPr="00952788" w:rsidRDefault="00952788" w:rsidP="00952788">
            <w:pPr>
              <w:spacing w:before="100" w:beforeAutospacing="1" w:after="100" w:afterAutospacing="1"/>
              <w:rPr>
                <w:rFonts w:ascii="Calibri" w:hAnsi="Calibri" w:cs="Times New Roman"/>
              </w:rPr>
            </w:pPr>
          </w:p>
        </w:tc>
      </w:tr>
      <w:tr w:rsidR="00952788" w:rsidRPr="00952788" w14:paraId="0A270FF2" w14:textId="77777777" w:rsidTr="00952788">
        <w:trPr>
          <w:tblCellSpacing w:w="15" w:type="dxa"/>
        </w:trPr>
        <w:tc>
          <w:tcPr>
            <w:tcW w:w="0" w:type="auto"/>
            <w:vAlign w:val="center"/>
          </w:tcPr>
          <w:p w14:paraId="0A661B04" w14:textId="77777777" w:rsidR="00952788" w:rsidRPr="00952788" w:rsidRDefault="00952788" w:rsidP="00952788">
            <w:pPr>
              <w:spacing w:before="100" w:beforeAutospacing="1" w:after="100" w:afterAutospacing="1"/>
              <w:rPr>
                <w:rFonts w:ascii="Calibri" w:hAnsi="Calibri" w:cs="Times New Roman"/>
              </w:rPr>
            </w:pPr>
          </w:p>
        </w:tc>
      </w:tr>
    </w:tbl>
    <w:p w14:paraId="163912A3" w14:textId="77777777" w:rsidR="00952788" w:rsidRPr="00952788" w:rsidRDefault="00952788" w:rsidP="00952788">
      <w:pPr>
        <w:rPr>
          <w:rFonts w:ascii="Times New Roman" w:eastAsia="Times New Roman" w:hAnsi="Times New Roman" w:cs="Times New Roman"/>
          <w:vanish/>
        </w:rPr>
      </w:pPr>
    </w:p>
    <w:tbl>
      <w:tblPr>
        <w:tblW w:w="0" w:type="auto"/>
        <w:tblCellSpacing w:w="15" w:type="dxa"/>
        <w:tblCellMar>
          <w:top w:w="15" w:type="dxa"/>
          <w:left w:w="450" w:type="dxa"/>
          <w:bottom w:w="15" w:type="dxa"/>
          <w:right w:w="15" w:type="dxa"/>
        </w:tblCellMar>
        <w:tblLook w:val="04A0" w:firstRow="1" w:lastRow="0" w:firstColumn="1" w:lastColumn="0" w:noHBand="0" w:noVBand="1"/>
      </w:tblPr>
      <w:tblGrid>
        <w:gridCol w:w="9591"/>
      </w:tblGrid>
      <w:tr w:rsidR="00952788" w:rsidRPr="00952788" w14:paraId="5678BDF5" w14:textId="77777777" w:rsidTr="00952788">
        <w:trPr>
          <w:tblCellSpacing w:w="15" w:type="dxa"/>
        </w:trPr>
        <w:tc>
          <w:tcPr>
            <w:tcW w:w="0" w:type="auto"/>
            <w:vAlign w:val="center"/>
            <w:hideMark/>
          </w:tcPr>
          <w:p w14:paraId="268CB0B0" w14:textId="77777777" w:rsidR="00952788" w:rsidRPr="00952788" w:rsidRDefault="00952788" w:rsidP="00952788">
            <w:pPr>
              <w:spacing w:before="100" w:beforeAutospacing="1" w:after="100" w:afterAutospacing="1"/>
              <w:rPr>
                <w:rFonts w:ascii="Calibri" w:hAnsi="Calibri" w:cs="Times New Roman"/>
              </w:rPr>
            </w:pPr>
            <w:r w:rsidRPr="00952788">
              <w:rPr>
                <w:rFonts w:ascii="Calibri" w:hAnsi="Calibri" w:cs="Times New Roman"/>
              </w:rPr>
              <w:t>Het beveiligingsbeleid heeft de volgende onderdelen: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0"/>
            </w:tblGrid>
            <w:tr w:rsidR="00952788" w:rsidRPr="00952788" w14:paraId="03B41700"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7"/>
                    <w:gridCol w:w="4245"/>
                  </w:tblGrid>
                  <w:tr w:rsidR="00952788" w:rsidRPr="00952788" w14:paraId="0002E95C" w14:textId="77777777">
                    <w:trPr>
                      <w:tblCellSpacing w:w="15" w:type="dxa"/>
                    </w:trPr>
                    <w:tc>
                      <w:tcPr>
                        <w:tcW w:w="6040" w:type="dxa"/>
                        <w:tcBorders>
                          <w:bottom w:val="single" w:sz="6" w:space="0" w:color="DDDDDD"/>
                          <w:right w:val="single" w:sz="6" w:space="0" w:color="DDDDDD"/>
                        </w:tcBorders>
                        <w:tcMar>
                          <w:top w:w="60" w:type="dxa"/>
                          <w:left w:w="60" w:type="dxa"/>
                          <w:bottom w:w="90" w:type="dxa"/>
                          <w:right w:w="120" w:type="dxa"/>
                        </w:tcMar>
                        <w:hideMark/>
                      </w:tcPr>
                      <w:p w14:paraId="7E630FA0" w14:textId="77777777" w:rsidR="00952788" w:rsidRPr="00952788" w:rsidRDefault="00952788" w:rsidP="00952788">
                        <w:pPr>
                          <w:spacing w:before="100" w:beforeAutospacing="1" w:after="100" w:afterAutospacing="1"/>
                          <w:rPr>
                            <w:rFonts w:ascii="Times New Roman" w:hAnsi="Times New Roman" w:cs="Times New Roman"/>
                          </w:rPr>
                        </w:pPr>
                        <w:r w:rsidRPr="00952788">
                          <w:rPr>
                            <w:rFonts w:ascii="Times New Roman" w:hAnsi="Times New Roman" w:cs="Times New Roman"/>
                          </w:rPr>
                          <w:t>Onderdeel:</w:t>
                        </w:r>
                      </w:p>
                    </w:tc>
                    <w:tc>
                      <w:tcPr>
                        <w:tcW w:w="6040" w:type="dxa"/>
                        <w:tcBorders>
                          <w:bottom w:val="single" w:sz="6" w:space="0" w:color="DDDDDD"/>
                          <w:right w:val="single" w:sz="6" w:space="0" w:color="DDDDDD"/>
                        </w:tcBorders>
                        <w:tcMar>
                          <w:top w:w="60" w:type="dxa"/>
                          <w:left w:w="60" w:type="dxa"/>
                          <w:bottom w:w="90" w:type="dxa"/>
                          <w:right w:w="120" w:type="dxa"/>
                        </w:tcMar>
                        <w:hideMark/>
                      </w:tcPr>
                      <w:p w14:paraId="395B561A" w14:textId="77777777" w:rsidR="00952788" w:rsidRPr="00952788" w:rsidRDefault="00952788" w:rsidP="00952788">
                        <w:pPr>
                          <w:spacing w:before="100" w:beforeAutospacing="1" w:after="100" w:afterAutospacing="1"/>
                          <w:rPr>
                            <w:rFonts w:ascii="Times New Roman" w:hAnsi="Times New Roman" w:cs="Times New Roman"/>
                          </w:rPr>
                        </w:pPr>
                        <w:r w:rsidRPr="00952788">
                          <w:rPr>
                            <w:rFonts w:ascii="Times New Roman" w:hAnsi="Times New Roman" w:cs="Times New Roman"/>
                          </w:rPr>
                          <w:t>Dossiers, e-mails en documenten.</w:t>
                        </w:r>
                      </w:p>
                    </w:tc>
                  </w:tr>
                  <w:tr w:rsidR="00952788" w:rsidRPr="00952788" w14:paraId="6DFCEDEC" w14:textId="77777777">
                    <w:trPr>
                      <w:tblCellSpacing w:w="15" w:type="dxa"/>
                    </w:trPr>
                    <w:tc>
                      <w:tcPr>
                        <w:tcW w:w="6040" w:type="dxa"/>
                        <w:tcBorders>
                          <w:bottom w:val="single" w:sz="6" w:space="0" w:color="DDDDDD"/>
                          <w:right w:val="single" w:sz="6" w:space="0" w:color="DDDDDD"/>
                        </w:tcBorders>
                        <w:tcMar>
                          <w:top w:w="60" w:type="dxa"/>
                          <w:left w:w="60" w:type="dxa"/>
                          <w:bottom w:w="90" w:type="dxa"/>
                          <w:right w:w="120" w:type="dxa"/>
                        </w:tcMar>
                        <w:hideMark/>
                      </w:tcPr>
                      <w:p w14:paraId="0ABF0D98" w14:textId="77777777" w:rsidR="00952788" w:rsidRPr="00952788" w:rsidRDefault="00952788" w:rsidP="00952788">
                        <w:pPr>
                          <w:spacing w:before="100" w:beforeAutospacing="1" w:after="100" w:afterAutospacing="1"/>
                          <w:rPr>
                            <w:rFonts w:ascii="Times New Roman" w:hAnsi="Times New Roman" w:cs="Times New Roman"/>
                          </w:rPr>
                        </w:pPr>
                        <w:r w:rsidRPr="00952788">
                          <w:rPr>
                            <w:rFonts w:ascii="Times New Roman" w:hAnsi="Times New Roman" w:cs="Times New Roman"/>
                          </w:rPr>
                          <w:t>Beveiligingsmaatregelen:</w:t>
                        </w:r>
                      </w:p>
                    </w:tc>
                    <w:tc>
                      <w:tcPr>
                        <w:tcW w:w="6040" w:type="dxa"/>
                        <w:tcBorders>
                          <w:bottom w:val="single" w:sz="6" w:space="0" w:color="DDDDDD"/>
                          <w:right w:val="single" w:sz="6" w:space="0" w:color="DDDDDD"/>
                        </w:tcBorders>
                        <w:tcMar>
                          <w:top w:w="60" w:type="dxa"/>
                          <w:left w:w="60" w:type="dxa"/>
                          <w:bottom w:w="90" w:type="dxa"/>
                          <w:right w:w="120" w:type="dxa"/>
                        </w:tcMar>
                        <w:hideMark/>
                      </w:tcPr>
                      <w:p w14:paraId="5E794946" w14:textId="77777777" w:rsidR="00952788" w:rsidRPr="00952788" w:rsidRDefault="00952788" w:rsidP="00952788">
                        <w:pPr>
                          <w:spacing w:before="100" w:beforeAutospacing="1" w:after="100" w:afterAutospacing="1"/>
                          <w:rPr>
                            <w:rFonts w:ascii="Times New Roman" w:hAnsi="Times New Roman" w:cs="Times New Roman"/>
                          </w:rPr>
                        </w:pPr>
                        <w:r w:rsidRPr="00952788">
                          <w:rPr>
                            <w:rFonts w:ascii="Times New Roman" w:hAnsi="Times New Roman" w:cs="Times New Roman"/>
                          </w:rPr>
                          <w:t>Dossiers worden veilig bewaard in een af te sluiten ruimte. E-mails en documenten worden veilig bewaard in een met sterke wachtwoorden beveiligde digitale omgeving.</w:t>
                        </w:r>
                      </w:p>
                    </w:tc>
                  </w:tr>
                  <w:tr w:rsidR="00952788" w:rsidRPr="00952788" w14:paraId="5C69D55C" w14:textId="77777777">
                    <w:trPr>
                      <w:tblCellSpacing w:w="15" w:type="dxa"/>
                    </w:trPr>
                    <w:tc>
                      <w:tcPr>
                        <w:tcW w:w="6040" w:type="dxa"/>
                        <w:tcBorders>
                          <w:bottom w:val="single" w:sz="6" w:space="0" w:color="DDDDDD"/>
                          <w:right w:val="single" w:sz="6" w:space="0" w:color="DDDDDD"/>
                        </w:tcBorders>
                        <w:tcMar>
                          <w:top w:w="60" w:type="dxa"/>
                          <w:left w:w="60" w:type="dxa"/>
                          <w:bottom w:w="90" w:type="dxa"/>
                          <w:right w:w="120" w:type="dxa"/>
                        </w:tcMar>
                        <w:hideMark/>
                      </w:tcPr>
                      <w:p w14:paraId="1B406242" w14:textId="5F8FA30D" w:rsidR="00952788" w:rsidRPr="00952788" w:rsidRDefault="00952788" w:rsidP="00952788">
                        <w:pPr>
                          <w:rPr>
                            <w:rFonts w:ascii="Times New Roman" w:eastAsia="Times New Roman" w:hAnsi="Times New Roman" w:cs="Times New Roman"/>
                          </w:rPr>
                        </w:pPr>
                        <w:r w:rsidRPr="00952788">
                          <w:rPr>
                            <w:rFonts w:ascii="Times New Roman" w:eastAsia="Times New Roman" w:hAnsi="Times New Roman" w:cs="Times New Roman"/>
                          </w:rPr>
                          <w:t>Beveil</w:t>
                        </w:r>
                        <w:r w:rsidR="00FC076A">
                          <w:rPr>
                            <w:rFonts w:ascii="Times New Roman" w:eastAsia="Times New Roman" w:hAnsi="Times New Roman" w:cs="Times New Roman"/>
                          </w:rPr>
                          <w:t>igingsmaatregelen bij verwerker of bewerker</w:t>
                        </w:r>
                        <w:r w:rsidRPr="00952788">
                          <w:rPr>
                            <w:rFonts w:ascii="Times New Roman" w:eastAsia="Times New Roman" w:hAnsi="Times New Roman" w:cs="Times New Roman"/>
                          </w:rPr>
                          <w:t>:</w:t>
                        </w:r>
                      </w:p>
                    </w:tc>
                    <w:tc>
                      <w:tcPr>
                        <w:tcW w:w="6040" w:type="dxa"/>
                        <w:tcBorders>
                          <w:bottom w:val="single" w:sz="6" w:space="0" w:color="DDDDDD"/>
                          <w:right w:val="single" w:sz="6" w:space="0" w:color="DDDDDD"/>
                        </w:tcBorders>
                        <w:tcMar>
                          <w:top w:w="60" w:type="dxa"/>
                          <w:left w:w="60" w:type="dxa"/>
                          <w:bottom w:w="90" w:type="dxa"/>
                          <w:right w:w="120" w:type="dxa"/>
                        </w:tcMar>
                        <w:hideMark/>
                      </w:tcPr>
                      <w:p w14:paraId="10064AA2" w14:textId="08A378A9" w:rsidR="00952788" w:rsidRPr="00952788" w:rsidRDefault="00FC076A" w:rsidP="00FC076A">
                        <w:pPr>
                          <w:rPr>
                            <w:rFonts w:ascii="Times New Roman" w:eastAsia="Times New Roman" w:hAnsi="Times New Roman" w:cs="Times New Roman"/>
                          </w:rPr>
                        </w:pPr>
                        <w:r>
                          <w:rPr>
                            <w:rFonts w:ascii="Times New Roman" w:eastAsia="Times New Roman" w:hAnsi="Times New Roman" w:cs="Times New Roman"/>
                          </w:rPr>
                          <w:t>Verwerker en bewerker</w:t>
                        </w:r>
                        <w:r w:rsidR="00952788" w:rsidRPr="00952788">
                          <w:rPr>
                            <w:rFonts w:ascii="Times New Roman" w:eastAsia="Times New Roman" w:hAnsi="Times New Roman" w:cs="Times New Roman"/>
                          </w:rPr>
                          <w:t xml:space="preserve"> </w:t>
                        </w:r>
                        <w:r>
                          <w:rPr>
                            <w:rFonts w:ascii="Times New Roman" w:eastAsia="Times New Roman" w:hAnsi="Times New Roman" w:cs="Times New Roman"/>
                          </w:rPr>
                          <w:t>heeft</w:t>
                        </w:r>
                        <w:r w:rsidR="00952788" w:rsidRPr="00952788">
                          <w:rPr>
                            <w:rFonts w:ascii="Times New Roman" w:eastAsia="Times New Roman" w:hAnsi="Times New Roman" w:cs="Times New Roman"/>
                          </w:rPr>
                          <w:t xml:space="preserve"> de hiervoor genoemde maatregelen getroffen.</w:t>
                        </w:r>
                      </w:p>
                    </w:tc>
                  </w:tr>
                </w:tbl>
                <w:p w14:paraId="632B0037" w14:textId="77777777" w:rsidR="00952788" w:rsidRPr="00952788" w:rsidRDefault="00952788" w:rsidP="00952788">
                  <w:pPr>
                    <w:rPr>
                      <w:rFonts w:ascii="Times New Roman" w:eastAsia="Times New Roman" w:hAnsi="Times New Roman" w:cs="Times New Roman"/>
                    </w:rPr>
                  </w:pPr>
                </w:p>
              </w:tc>
            </w:tr>
          </w:tbl>
          <w:p w14:paraId="2EE30663" w14:textId="77777777" w:rsidR="00952788" w:rsidRPr="00952788" w:rsidRDefault="00952788" w:rsidP="00952788">
            <w:pPr>
              <w:rPr>
                <w:rFonts w:ascii="Calibri" w:eastAsia="Times New Roman" w:hAnsi="Calibri" w:cs="Times New Roman"/>
              </w:rPr>
            </w:pPr>
          </w:p>
        </w:tc>
      </w:tr>
    </w:tbl>
    <w:p w14:paraId="1F537B09" w14:textId="77777777" w:rsidR="00952788" w:rsidRPr="00D17D7D" w:rsidRDefault="00952788" w:rsidP="00D17D7D">
      <w:pPr>
        <w:spacing w:before="100" w:beforeAutospacing="1" w:after="100" w:afterAutospacing="1"/>
        <w:ind w:left="720"/>
        <w:rPr>
          <w:rFonts w:ascii="Calibri" w:eastAsia="Times New Roman" w:hAnsi="Calibri" w:cs="Times New Roman"/>
          <w:color w:val="000000"/>
        </w:rPr>
      </w:pPr>
    </w:p>
    <w:p w14:paraId="20AE5F81" w14:textId="77777777" w:rsidR="00D17D7D" w:rsidRPr="00D17D7D" w:rsidRDefault="00D17D7D" w:rsidP="00D17D7D">
      <w:pPr>
        <w:rPr>
          <w:rFonts w:ascii="Times New Roman" w:eastAsia="Times New Roman" w:hAnsi="Times New Roman" w:cs="Times New Roman"/>
          <w:sz w:val="20"/>
          <w:szCs w:val="20"/>
        </w:rPr>
      </w:pPr>
    </w:p>
    <w:p w14:paraId="5C92AD21" w14:textId="77777777" w:rsidR="0010362A" w:rsidRDefault="0010362A"/>
    <w:sectPr w:rsidR="0010362A"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18D4"/>
    <w:multiLevelType w:val="multilevel"/>
    <w:tmpl w:val="552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D7D"/>
    <w:rsid w:val="0010362A"/>
    <w:rsid w:val="002F4916"/>
    <w:rsid w:val="00581C9C"/>
    <w:rsid w:val="00806A96"/>
    <w:rsid w:val="00952788"/>
    <w:rsid w:val="00967B0D"/>
    <w:rsid w:val="00AE0556"/>
    <w:rsid w:val="00D17D7D"/>
    <w:rsid w:val="00F37C4C"/>
    <w:rsid w:val="00FC07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39426"/>
  <w14:defaultImageDpi w14:val="300"/>
  <w15:docId w15:val="{CC070A62-7510-B84C-8BC9-B868511B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17D7D"/>
  </w:style>
  <w:style w:type="paragraph" w:styleId="Ballontekst">
    <w:name w:val="Balloon Text"/>
    <w:basedOn w:val="Standaard"/>
    <w:link w:val="BallontekstChar"/>
    <w:uiPriority w:val="99"/>
    <w:semiHidden/>
    <w:unhideWhenUsed/>
    <w:rsid w:val="00D17D7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17D7D"/>
    <w:rPr>
      <w:rFonts w:ascii="Lucida Grande" w:hAnsi="Lucida Grande" w:cs="Lucida Grande"/>
      <w:sz w:val="18"/>
      <w:szCs w:val="18"/>
    </w:rPr>
  </w:style>
  <w:style w:type="paragraph" w:styleId="Normaalweb">
    <w:name w:val="Normal (Web)"/>
    <w:basedOn w:val="Standaard"/>
    <w:uiPriority w:val="99"/>
    <w:unhideWhenUsed/>
    <w:rsid w:val="0095278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3292">
      <w:bodyDiv w:val="1"/>
      <w:marLeft w:val="0"/>
      <w:marRight w:val="0"/>
      <w:marTop w:val="0"/>
      <w:marBottom w:val="0"/>
      <w:divBdr>
        <w:top w:val="none" w:sz="0" w:space="0" w:color="auto"/>
        <w:left w:val="none" w:sz="0" w:space="0" w:color="auto"/>
        <w:bottom w:val="none" w:sz="0" w:space="0" w:color="auto"/>
        <w:right w:val="none" w:sz="0" w:space="0" w:color="auto"/>
      </w:divBdr>
    </w:div>
    <w:div w:id="1767579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Boluijt | Psychologenbureau Boluijt</cp:lastModifiedBy>
  <cp:revision>3</cp:revision>
  <dcterms:created xsi:type="dcterms:W3CDTF">2018-05-25T12:24:00Z</dcterms:created>
  <dcterms:modified xsi:type="dcterms:W3CDTF">2022-01-06T19:52:00Z</dcterms:modified>
</cp:coreProperties>
</file>